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7E7658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3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="00C033DC">
        <w:rPr>
          <w:rFonts w:asciiTheme="minorHAnsi" w:eastAsia="Calibri" w:hAnsiTheme="minorHAnsi"/>
          <w:color w:val="17365D"/>
          <w:sz w:val="28"/>
          <w:szCs w:val="28"/>
        </w:rPr>
        <w:t>Felnőtt ápolás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033DC" w:rsidRDefault="007E7658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7658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Korszerű kardiológiai vizsgáló eljárások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7E7658">
        <w:rPr>
          <w:rFonts w:asciiTheme="minorHAnsi" w:eastAsia="Calibri" w:hAnsiTheme="minorHAnsi"/>
          <w:b/>
          <w:color w:val="244061"/>
          <w:sz w:val="32"/>
          <w:szCs w:val="32"/>
        </w:rPr>
        <w:t>szeptember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>0</w:t>
      </w:r>
      <w:r w:rsidR="007E7658">
        <w:rPr>
          <w:rFonts w:asciiTheme="minorHAnsi" w:eastAsia="Calibri" w:hAnsiTheme="minorHAnsi"/>
          <w:b/>
          <w:color w:val="244061"/>
          <w:sz w:val="32"/>
          <w:szCs w:val="32"/>
        </w:rPr>
        <w:t>3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7E7658">
        <w:rPr>
          <w:rFonts w:asciiTheme="minorHAnsi" w:eastAsia="Calibri" w:hAnsiTheme="minorHAnsi"/>
          <w:b/>
          <w:color w:val="244061"/>
          <w:sz w:val="32"/>
          <w:szCs w:val="32"/>
        </w:rPr>
        <w:t>szeptember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 0</w:t>
      </w:r>
      <w:r w:rsidR="007E7658">
        <w:rPr>
          <w:rFonts w:asciiTheme="minorHAnsi" w:eastAsia="Calibri" w:hAnsiTheme="minorHAnsi"/>
          <w:b/>
          <w:color w:val="244061"/>
          <w:sz w:val="32"/>
          <w:szCs w:val="32"/>
        </w:rPr>
        <w:t>4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C033DC" w:rsidRPr="00575D5B" w:rsidRDefault="00C033DC" w:rsidP="00C033DC">
      <w:pPr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b/>
          <w:color w:val="17365D"/>
        </w:rPr>
        <w:t>1.</w:t>
      </w:r>
      <w:r w:rsidRPr="00575D5B">
        <w:rPr>
          <w:rFonts w:asciiTheme="minorHAnsi" w:eastAsia="Calibri" w:hAnsiTheme="minorHAnsi"/>
          <w:b/>
          <w:color w:val="17365D"/>
        </w:rPr>
        <w:tab/>
      </w:r>
      <w:r w:rsidR="007E7658" w:rsidRPr="007E7658">
        <w:rPr>
          <w:rFonts w:asciiTheme="minorHAnsi" w:eastAsia="Calibri" w:hAnsiTheme="minorHAnsi"/>
          <w:b/>
          <w:color w:val="17365D"/>
        </w:rPr>
        <w:t>Kardiológiai ellátás jellemzői</w:t>
      </w:r>
    </w:p>
    <w:p w:rsidR="00C033DC" w:rsidRPr="00575D5B" w:rsidRDefault="00C033DC" w:rsidP="00C033DC">
      <w:pPr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b/>
          <w:color w:val="17365D"/>
        </w:rPr>
        <w:t>2.</w:t>
      </w:r>
      <w:r w:rsidRPr="00575D5B">
        <w:rPr>
          <w:rFonts w:asciiTheme="minorHAnsi" w:eastAsia="Calibri" w:hAnsiTheme="minorHAnsi"/>
          <w:b/>
          <w:color w:val="17365D"/>
        </w:rPr>
        <w:tab/>
      </w:r>
      <w:r w:rsidR="007E7658" w:rsidRPr="007E7658">
        <w:rPr>
          <w:rFonts w:asciiTheme="minorHAnsi" w:eastAsia="Calibri" w:hAnsiTheme="minorHAnsi"/>
          <w:b/>
          <w:color w:val="17365D"/>
        </w:rPr>
        <w:t>Kardiológiai ellátásban előforduló leggyakoribb kórképek és jellemzőjük</w:t>
      </w:r>
    </w:p>
    <w:p w:rsidR="00C033DC" w:rsidRPr="00575D5B" w:rsidRDefault="00C033DC" w:rsidP="00C033DC">
      <w:pPr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b/>
          <w:color w:val="17365D"/>
        </w:rPr>
        <w:t>3.</w:t>
      </w:r>
      <w:r w:rsidRPr="00575D5B">
        <w:rPr>
          <w:rFonts w:asciiTheme="minorHAnsi" w:eastAsia="Calibri" w:hAnsiTheme="minorHAnsi"/>
          <w:b/>
          <w:color w:val="17365D"/>
        </w:rPr>
        <w:tab/>
      </w:r>
      <w:r w:rsidR="007E7658" w:rsidRPr="007E7658">
        <w:rPr>
          <w:rFonts w:asciiTheme="minorHAnsi" w:eastAsia="Calibri" w:hAnsiTheme="minorHAnsi"/>
          <w:b/>
          <w:color w:val="17365D"/>
        </w:rPr>
        <w:t>Kardiológiai vizsgálatok</w:t>
      </w:r>
    </w:p>
    <w:p w:rsidR="00575D5B" w:rsidRPr="00575D5B" w:rsidRDefault="00C033DC" w:rsidP="00C033DC">
      <w:pPr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b/>
          <w:color w:val="17365D"/>
        </w:rPr>
        <w:t>4.</w:t>
      </w:r>
      <w:r w:rsidRPr="00575D5B">
        <w:rPr>
          <w:rFonts w:asciiTheme="minorHAnsi" w:eastAsia="Calibri" w:hAnsiTheme="minorHAnsi"/>
          <w:b/>
          <w:color w:val="17365D"/>
        </w:rPr>
        <w:tab/>
      </w:r>
      <w:proofErr w:type="spellStart"/>
      <w:r w:rsidR="007E7658" w:rsidRPr="007E7658">
        <w:rPr>
          <w:rFonts w:asciiTheme="minorHAnsi" w:eastAsia="Calibri" w:hAnsiTheme="minorHAnsi"/>
          <w:b/>
          <w:color w:val="17365D"/>
        </w:rPr>
        <w:t>Invazív</w:t>
      </w:r>
      <w:proofErr w:type="spellEnd"/>
      <w:r w:rsidR="007E7658" w:rsidRPr="007E7658">
        <w:rPr>
          <w:rFonts w:asciiTheme="minorHAnsi" w:eastAsia="Calibri" w:hAnsiTheme="minorHAnsi"/>
          <w:b/>
          <w:color w:val="17365D"/>
        </w:rPr>
        <w:t xml:space="preserve"> kardiológiai vizsgálatok, beavatkozások</w:t>
      </w:r>
    </w:p>
    <w:p w:rsidR="00DD25E2" w:rsidRDefault="00575D5B" w:rsidP="00575D5B">
      <w:pPr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b/>
          <w:color w:val="17365D"/>
        </w:rPr>
        <w:t>5.</w:t>
      </w:r>
      <w:r w:rsidRPr="00575D5B">
        <w:rPr>
          <w:rFonts w:asciiTheme="minorHAnsi" w:eastAsia="Calibri" w:hAnsiTheme="minorHAnsi"/>
          <w:b/>
          <w:color w:val="17365D"/>
        </w:rPr>
        <w:tab/>
      </w:r>
      <w:r w:rsidR="007E7658" w:rsidRPr="007E7658">
        <w:rPr>
          <w:rFonts w:asciiTheme="minorHAnsi" w:eastAsia="Calibri" w:hAnsiTheme="minorHAnsi"/>
          <w:b/>
          <w:color w:val="17365D"/>
        </w:rPr>
        <w:t>Szakápoló feladatok kardiológiai vizsgáló eljárásoknál</w:t>
      </w:r>
    </w:p>
    <w:p w:rsidR="007E7658" w:rsidRDefault="007E7658" w:rsidP="00575D5B">
      <w:pPr>
        <w:rPr>
          <w:rFonts w:asciiTheme="minorHAnsi" w:eastAsia="Calibri" w:hAnsiTheme="minorHAnsi"/>
          <w:b/>
          <w:color w:val="17365D"/>
        </w:rPr>
      </w:pPr>
      <w:r>
        <w:rPr>
          <w:rFonts w:asciiTheme="minorHAnsi" w:eastAsia="Calibri" w:hAnsiTheme="minorHAnsi"/>
          <w:b/>
          <w:color w:val="17365D"/>
        </w:rPr>
        <w:t>6.</w:t>
      </w:r>
      <w:r>
        <w:rPr>
          <w:rFonts w:asciiTheme="minorHAnsi" w:eastAsia="Calibri" w:hAnsiTheme="minorHAnsi"/>
          <w:b/>
          <w:color w:val="17365D"/>
        </w:rPr>
        <w:tab/>
      </w:r>
      <w:r w:rsidRPr="007E7658">
        <w:rPr>
          <w:rFonts w:asciiTheme="minorHAnsi" w:eastAsia="Calibri" w:hAnsiTheme="minorHAnsi"/>
          <w:b/>
          <w:color w:val="17365D"/>
        </w:rPr>
        <w:t>Reanimáció. A hat órás továbbképzés tartalmazza az aktuális nemzetközi ajánlásoknak megfelelő eszközös és eszköznélküli újraélesztést (ALS, BLS)</w:t>
      </w:r>
    </w:p>
    <w:p w:rsidR="007E7658" w:rsidRPr="00575D5B" w:rsidRDefault="007E7658" w:rsidP="00575D5B">
      <w:pPr>
        <w:rPr>
          <w:rFonts w:asciiTheme="minorHAnsi" w:eastAsia="Calibri" w:hAnsiTheme="minorHAnsi"/>
          <w:b/>
          <w:color w:val="17365D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414D6C" w:rsidRDefault="007E7658" w:rsidP="00DD25E2">
      <w:pPr>
        <w:rPr>
          <w:rFonts w:asciiTheme="minorHAnsi" w:eastAsia="Calibri" w:hAnsiTheme="minorHAnsi"/>
          <w:color w:val="244061"/>
        </w:rPr>
      </w:pPr>
      <w:proofErr w:type="spellStart"/>
      <w:r w:rsidRPr="007E7658">
        <w:rPr>
          <w:rFonts w:asciiTheme="minorHAnsi" w:eastAsia="Calibri" w:hAnsiTheme="minorHAnsi"/>
          <w:b/>
          <w:color w:val="244061"/>
        </w:rPr>
        <w:t>Gottsegen</w:t>
      </w:r>
      <w:proofErr w:type="spellEnd"/>
      <w:r w:rsidRPr="007E7658">
        <w:rPr>
          <w:rFonts w:asciiTheme="minorHAnsi" w:eastAsia="Calibri" w:hAnsiTheme="minorHAnsi"/>
          <w:b/>
          <w:color w:val="244061"/>
        </w:rPr>
        <w:t xml:space="preserve"> György Országos Kardiológiai Intézet </w:t>
      </w:r>
      <w:r w:rsidRPr="007E7658">
        <w:rPr>
          <w:rFonts w:asciiTheme="minorHAnsi" w:eastAsia="Calibri" w:hAnsiTheme="minorHAnsi"/>
          <w:color w:val="244061"/>
        </w:rPr>
        <w:t>- 1096, Budapest, Haller u. 29</w:t>
      </w:r>
    </w:p>
    <w:p w:rsidR="007E7658" w:rsidRPr="00575D5B" w:rsidRDefault="007E7658" w:rsidP="00DD25E2">
      <w:pPr>
        <w:rPr>
          <w:rFonts w:asciiTheme="minorHAnsi" w:eastAsia="Calibri" w:hAnsiTheme="minorHAnsi"/>
          <w:color w:val="17365D"/>
          <w:sz w:val="22"/>
          <w:szCs w:val="22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7F0D50" w:rsidRPr="00575D5B" w:rsidRDefault="007F0D50" w:rsidP="00DD25E2">
      <w:pPr>
        <w:jc w:val="both"/>
        <w:rPr>
          <w:rFonts w:asciiTheme="minorHAnsi" w:eastAsia="Calibri" w:hAnsiTheme="minorHAnsi"/>
          <w:color w:val="17365D"/>
        </w:rPr>
      </w:pP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 Sürgősségi ellátás szakmacsoport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 xml:space="preserve">3.B. </w:t>
      </w:r>
      <w:proofErr w:type="spellStart"/>
      <w:r w:rsidRPr="007E7658">
        <w:rPr>
          <w:rFonts w:asciiTheme="minorHAnsi" w:eastAsia="Calibri" w:hAnsiTheme="minorHAnsi"/>
          <w:i/>
          <w:color w:val="17365D"/>
        </w:rPr>
        <w:t>Aneszteziológia</w:t>
      </w:r>
      <w:proofErr w:type="spellEnd"/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 xml:space="preserve">3.1. </w:t>
      </w:r>
      <w:proofErr w:type="spellStart"/>
      <w:r w:rsidRPr="007E7658">
        <w:rPr>
          <w:rFonts w:asciiTheme="minorHAnsi" w:eastAsia="Calibri" w:hAnsiTheme="minorHAnsi"/>
          <w:i/>
          <w:color w:val="17365D"/>
        </w:rPr>
        <w:t>Aneszteziológiai</w:t>
      </w:r>
      <w:proofErr w:type="spellEnd"/>
      <w:r w:rsidRPr="007E7658">
        <w:rPr>
          <w:rFonts w:asciiTheme="minorHAnsi" w:eastAsia="Calibri" w:hAnsiTheme="minorHAnsi"/>
          <w:i/>
          <w:color w:val="17365D"/>
        </w:rPr>
        <w:t xml:space="preserve"> asszisztens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 xml:space="preserve">3.2. </w:t>
      </w:r>
      <w:proofErr w:type="spellStart"/>
      <w:r w:rsidRPr="007E7658">
        <w:rPr>
          <w:rFonts w:asciiTheme="minorHAnsi" w:eastAsia="Calibri" w:hAnsiTheme="minorHAnsi"/>
          <w:i/>
          <w:color w:val="17365D"/>
        </w:rPr>
        <w:t>Aneszteziológiai</w:t>
      </w:r>
      <w:proofErr w:type="spellEnd"/>
      <w:r w:rsidRPr="007E7658">
        <w:rPr>
          <w:rFonts w:asciiTheme="minorHAnsi" w:eastAsia="Calibri" w:hAnsiTheme="minorHAnsi"/>
          <w:i/>
          <w:color w:val="17365D"/>
        </w:rPr>
        <w:t xml:space="preserve"> szakasszisztens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 xml:space="preserve">3.3. </w:t>
      </w:r>
      <w:proofErr w:type="spellStart"/>
      <w:r w:rsidRPr="007E7658">
        <w:rPr>
          <w:rFonts w:asciiTheme="minorHAnsi" w:eastAsia="Calibri" w:hAnsiTheme="minorHAnsi"/>
          <w:i/>
          <w:color w:val="17365D"/>
        </w:rPr>
        <w:t>Aneszteziológiai</w:t>
      </w:r>
      <w:proofErr w:type="spellEnd"/>
      <w:r w:rsidRPr="007E7658">
        <w:rPr>
          <w:rFonts w:asciiTheme="minorHAnsi" w:eastAsia="Calibri" w:hAnsiTheme="minorHAnsi"/>
          <w:i/>
          <w:color w:val="17365D"/>
        </w:rPr>
        <w:t xml:space="preserve"> szakasszisztens (egészségügyi szakasszisztens) (54)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 xml:space="preserve">3.6. Felnőtt </w:t>
      </w:r>
      <w:proofErr w:type="spellStart"/>
      <w:r w:rsidRPr="007E7658">
        <w:rPr>
          <w:rFonts w:asciiTheme="minorHAnsi" w:eastAsia="Calibri" w:hAnsiTheme="minorHAnsi"/>
          <w:i/>
          <w:color w:val="17365D"/>
        </w:rPr>
        <w:t>aneszteziológiai</w:t>
      </w:r>
      <w:proofErr w:type="spellEnd"/>
      <w:r w:rsidRPr="007E7658">
        <w:rPr>
          <w:rFonts w:asciiTheme="minorHAnsi" w:eastAsia="Calibri" w:hAnsiTheme="minorHAnsi"/>
          <w:i/>
          <w:color w:val="17365D"/>
        </w:rPr>
        <w:t xml:space="preserve"> és intenzív szakápoló (54)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 xml:space="preserve">3.25. </w:t>
      </w:r>
      <w:proofErr w:type="spellStart"/>
      <w:r w:rsidRPr="007E7658">
        <w:rPr>
          <w:rFonts w:asciiTheme="minorHAnsi" w:eastAsia="Calibri" w:hAnsiTheme="minorHAnsi"/>
          <w:i/>
          <w:color w:val="17365D"/>
        </w:rPr>
        <w:t>Aneszteziológiai</w:t>
      </w:r>
      <w:proofErr w:type="spellEnd"/>
      <w:r w:rsidRPr="007E7658">
        <w:rPr>
          <w:rFonts w:asciiTheme="minorHAnsi" w:eastAsia="Calibri" w:hAnsiTheme="minorHAnsi"/>
          <w:i/>
          <w:color w:val="17365D"/>
        </w:rPr>
        <w:t xml:space="preserve"> szakasszisztens (55)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3.C. Újszülött intenzív szakápolás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 xml:space="preserve">3.22. </w:t>
      </w:r>
      <w:proofErr w:type="spellStart"/>
      <w:r w:rsidRPr="007E7658">
        <w:rPr>
          <w:rFonts w:asciiTheme="minorHAnsi" w:eastAsia="Calibri" w:hAnsiTheme="minorHAnsi"/>
          <w:i/>
          <w:color w:val="17365D"/>
        </w:rPr>
        <w:t>Újszülött-csecsemő-gyermek</w:t>
      </w:r>
      <w:proofErr w:type="spellEnd"/>
      <w:r w:rsidRPr="007E7658">
        <w:rPr>
          <w:rFonts w:asciiTheme="minorHAnsi" w:eastAsia="Calibri" w:hAnsiTheme="minorHAnsi"/>
          <w:i/>
          <w:color w:val="17365D"/>
        </w:rPr>
        <w:t xml:space="preserve"> intenzív terápiás szakápoló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3.23. Újszülött-koraszülött intenzív terápiás szakápoló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3.24. Újszülött-koraszülött intenzív terápiás szakasszisztens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3.D. Gyermek intenzív szakápolás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 xml:space="preserve">3.7. Gyermek </w:t>
      </w:r>
      <w:proofErr w:type="spellStart"/>
      <w:r w:rsidRPr="007E7658">
        <w:rPr>
          <w:rFonts w:asciiTheme="minorHAnsi" w:eastAsia="Calibri" w:hAnsiTheme="minorHAnsi"/>
          <w:i/>
          <w:color w:val="17365D"/>
        </w:rPr>
        <w:t>aneszteziológiai</w:t>
      </w:r>
      <w:proofErr w:type="spellEnd"/>
      <w:r w:rsidRPr="007E7658">
        <w:rPr>
          <w:rFonts w:asciiTheme="minorHAnsi" w:eastAsia="Calibri" w:hAnsiTheme="minorHAnsi"/>
          <w:i/>
          <w:color w:val="17365D"/>
        </w:rPr>
        <w:t xml:space="preserve"> és intenzív szakápoló (54)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lastRenderedPageBreak/>
        <w:t>3.28. Gyermek intenzív szakápoló (55)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3.8. Gyermek-intenzív terápiás szakápoló (klinikai szakápoló)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(54)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3.E. Felnőtt intenzív és sürgősségi szakápolás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3.9. Intenzív betegellátó szakápoló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3.10. Intenzív betegellátó szakápoló (klinikai szakápoló) (54)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3.11. Intenzív betegellátó szakasszisztens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3.12. Intenzív terápiás ápoló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3.13. Intenzív terápiás szakasszisztens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3.21. Sürgősségi szakápoló (54)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3.26. Felnőtt intenzív szakápoló (55)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3.31. Sürgősségi szakápoló (55)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3.F. Kardiológiai szakápolás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 xml:space="preserve">3.14. Kardiológiai és </w:t>
      </w:r>
      <w:proofErr w:type="spellStart"/>
      <w:r w:rsidRPr="007E7658">
        <w:rPr>
          <w:rFonts w:asciiTheme="minorHAnsi" w:eastAsia="Calibri" w:hAnsiTheme="minorHAnsi"/>
          <w:i/>
          <w:color w:val="17365D"/>
        </w:rPr>
        <w:t>angiológiai</w:t>
      </w:r>
      <w:proofErr w:type="spellEnd"/>
      <w:r w:rsidRPr="007E7658">
        <w:rPr>
          <w:rFonts w:asciiTheme="minorHAnsi" w:eastAsia="Calibri" w:hAnsiTheme="minorHAnsi"/>
          <w:i/>
          <w:color w:val="17365D"/>
        </w:rPr>
        <w:t xml:space="preserve"> szakasszisztens (54)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3.15. Kardiológiai szakasszisztens (egészségügyi szakasszisztens) (54)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3.5. EKG asszisztens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 xml:space="preserve">3.29. Kardiológiai és </w:t>
      </w:r>
      <w:proofErr w:type="spellStart"/>
      <w:r w:rsidRPr="007E7658">
        <w:rPr>
          <w:rFonts w:asciiTheme="minorHAnsi" w:eastAsia="Calibri" w:hAnsiTheme="minorHAnsi"/>
          <w:i/>
          <w:color w:val="17365D"/>
        </w:rPr>
        <w:t>angiológiai</w:t>
      </w:r>
      <w:proofErr w:type="spellEnd"/>
      <w:r w:rsidRPr="007E7658">
        <w:rPr>
          <w:rFonts w:asciiTheme="minorHAnsi" w:eastAsia="Calibri" w:hAnsiTheme="minorHAnsi"/>
          <w:i/>
          <w:color w:val="17365D"/>
        </w:rPr>
        <w:t xml:space="preserve"> szakasszisztens (55)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3.H. Mentőellátás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3.18. Mentőtiszt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3.19. Mentőtiszt (</w:t>
      </w:r>
      <w:proofErr w:type="spellStart"/>
      <w:r w:rsidRPr="007E7658">
        <w:rPr>
          <w:rFonts w:asciiTheme="minorHAnsi" w:eastAsia="Calibri" w:hAnsiTheme="minorHAnsi"/>
          <w:i/>
          <w:color w:val="17365D"/>
        </w:rPr>
        <w:t>BSc</w:t>
      </w:r>
      <w:proofErr w:type="spellEnd"/>
      <w:r w:rsidRPr="007E7658">
        <w:rPr>
          <w:rFonts w:asciiTheme="minorHAnsi" w:eastAsia="Calibri" w:hAnsiTheme="minorHAnsi"/>
          <w:i/>
          <w:color w:val="17365D"/>
        </w:rPr>
        <w:t>)</w:t>
      </w:r>
    </w:p>
    <w:p w:rsidR="007E7658" w:rsidRPr="007E7658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3.20. Mentőtiszt (középfokú)</w:t>
      </w:r>
    </w:p>
    <w:p w:rsidR="00722536" w:rsidRPr="00575D5B" w:rsidRDefault="007E7658" w:rsidP="007E7658">
      <w:pPr>
        <w:jc w:val="both"/>
        <w:rPr>
          <w:rFonts w:asciiTheme="minorHAnsi" w:eastAsia="Calibri" w:hAnsiTheme="minorHAnsi"/>
          <w:i/>
          <w:color w:val="17365D"/>
        </w:rPr>
      </w:pPr>
      <w:r w:rsidRPr="007E7658">
        <w:rPr>
          <w:rFonts w:asciiTheme="minorHAnsi" w:eastAsia="Calibri" w:hAnsiTheme="minorHAnsi"/>
          <w:i/>
          <w:color w:val="17365D"/>
        </w:rPr>
        <w:t>1. Felnőtt ápolás és gondozás szakmacsoport</w:t>
      </w: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7A64A7">
        <w:rPr>
          <w:rFonts w:asciiTheme="minorHAnsi" w:eastAsia="Calibri" w:hAnsiTheme="minorHAnsi"/>
          <w:color w:val="FF0000"/>
        </w:rPr>
        <w:t>2018. augusztus 27</w:t>
      </w:r>
      <w:bookmarkStart w:id="0" w:name="_GoBack"/>
      <w:bookmarkEnd w:id="0"/>
      <w:r w:rsidR="007A64A7" w:rsidRPr="007A64A7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szándékát </w:t>
      </w:r>
      <w:r w:rsidRPr="00CD4445">
        <w:rPr>
          <w:rFonts w:eastAsia="Calibri" w:cs="Times New Roman"/>
          <w:color w:val="FF0000"/>
          <w:sz w:val="24"/>
          <w:szCs w:val="24"/>
        </w:rPr>
        <w:lastRenderedPageBreak/>
        <w:t>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>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33464C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Infóvonal: 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63</w:t>
      </w:r>
      <w:r w:rsidR="00DD25E2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5, 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675</w:t>
      </w:r>
    </w:p>
    <w:p w:rsidR="00DD25E2" w:rsidRPr="0033464C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E-mail: </w:t>
      </w:r>
      <w:hyperlink r:id="rId10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szti@etk.pte.hu</w:t>
        </w:r>
      </w:hyperlink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Az elérhető továbbképzések listáját az alábbi honlapon tekintheti meg: </w:t>
      </w:r>
      <w:r w:rsidR="00522125" w:rsidRPr="0033464C">
        <w:rPr>
          <w:rFonts w:asciiTheme="minorHAnsi" w:hAnsiTheme="minorHAnsi"/>
          <w:b/>
          <w:color w:val="0000FF"/>
          <w:sz w:val="28"/>
          <w:szCs w:val="28"/>
          <w:u w:val="single"/>
        </w:rPr>
        <w:t>http://www.etk.pte.hu/oktatas/szakkepzes-tovabbkepzes/egeszsegugyi-dolgozok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</w:t>
      </w:r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proofErr w:type="gram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valamint</w:t>
      </w:r>
      <w:proofErr w:type="gram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a </w:t>
      </w:r>
      <w:proofErr w:type="spell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Szaftex</w:t>
      </w:r>
      <w:proofErr w:type="spell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honlapján: </w:t>
      </w:r>
      <w:hyperlink r:id="rId11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7A64A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7A64A7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7A64A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81C81"/>
    <w:rsid w:val="000854A4"/>
    <w:rsid w:val="00095873"/>
    <w:rsid w:val="00096C1F"/>
    <w:rsid w:val="000E15B0"/>
    <w:rsid w:val="00115C17"/>
    <w:rsid w:val="00122784"/>
    <w:rsid w:val="001253D0"/>
    <w:rsid w:val="001849E9"/>
    <w:rsid w:val="00194138"/>
    <w:rsid w:val="001D5771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3464C"/>
    <w:rsid w:val="003500F0"/>
    <w:rsid w:val="00373AA7"/>
    <w:rsid w:val="003A6142"/>
    <w:rsid w:val="003E056F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75D5B"/>
    <w:rsid w:val="005777A0"/>
    <w:rsid w:val="005A28A9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A64A7"/>
    <w:rsid w:val="007C0D76"/>
    <w:rsid w:val="007E7658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92C1B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CD4445"/>
    <w:rsid w:val="00D32104"/>
    <w:rsid w:val="00D46097"/>
    <w:rsid w:val="00D838F7"/>
    <w:rsid w:val="00DC499C"/>
    <w:rsid w:val="00DC73CB"/>
    <w:rsid w:val="00DD0644"/>
    <w:rsid w:val="00DD25E2"/>
    <w:rsid w:val="00E215C6"/>
    <w:rsid w:val="00E5475B"/>
    <w:rsid w:val="00E633D1"/>
    <w:rsid w:val="00E66A76"/>
    <w:rsid w:val="00F07399"/>
    <w:rsid w:val="00F30779"/>
    <w:rsid w:val="00F771D4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3840-860E-42AD-9678-785D7270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4588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3</cp:revision>
  <cp:lastPrinted>2009-03-23T13:13:00Z</cp:lastPrinted>
  <dcterms:created xsi:type="dcterms:W3CDTF">2018-01-16T07:50:00Z</dcterms:created>
  <dcterms:modified xsi:type="dcterms:W3CDTF">2018-01-16T07:51:00Z</dcterms:modified>
</cp:coreProperties>
</file>